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1C1A" w:rsidRDefault="006668BA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T.H.E.</w:t>
      </w:r>
      <w:r>
        <w:rPr>
          <w:sz w:val="36"/>
          <w:szCs w:val="36"/>
          <w:u w:val="single"/>
        </w:rPr>
        <w:t xml:space="preserve"> </w:t>
      </w:r>
      <w:r>
        <w:rPr>
          <w:sz w:val="20"/>
          <w:szCs w:val="20"/>
          <w:u w:val="single"/>
        </w:rPr>
        <w:t>(Tutoring, Homework, Enrichment)</w:t>
      </w:r>
      <w:r>
        <w:rPr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Program</w:t>
      </w:r>
    </w:p>
    <w:p w:rsidR="000C1C1A" w:rsidRDefault="006668BA">
      <w:r>
        <w:rPr>
          <w:i/>
          <w:sz w:val="24"/>
          <w:szCs w:val="24"/>
          <w:u w:val="single"/>
        </w:rPr>
        <w:t>Description:</w:t>
      </w:r>
      <w:r>
        <w:rPr>
          <w:sz w:val="24"/>
          <w:szCs w:val="24"/>
        </w:rPr>
        <w:t xml:space="preserve"> All students will have the opportunity to attend these weekly 1 hour sessions to improve their understanding in all core areas. A certified instructor will oversee Honor Society students leading peer to peer tutoring as well as provide support to students</w:t>
      </w:r>
      <w:r>
        <w:rPr>
          <w:sz w:val="24"/>
          <w:szCs w:val="24"/>
        </w:rPr>
        <w:t xml:space="preserve"> needing help with their homework. This certified instructor will also oversee those students who want enrichment in the core content areas through an online, interactive program called </w:t>
      </w:r>
      <w:proofErr w:type="spellStart"/>
      <w:r>
        <w:rPr>
          <w:sz w:val="24"/>
          <w:szCs w:val="24"/>
        </w:rPr>
        <w:t>MobyMax</w:t>
      </w:r>
      <w:proofErr w:type="spellEnd"/>
      <w:r>
        <w:rPr>
          <w:sz w:val="24"/>
          <w:szCs w:val="24"/>
        </w:rPr>
        <w:t>. This program meets from 2:30-3:30pm on the following dates:</w:t>
      </w: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7935"/>
      </w:tblGrid>
      <w:tr w:rsidR="000C1C1A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ctober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21, 28</w:t>
            </w:r>
          </w:p>
        </w:tc>
      </w:tr>
      <w:tr w:rsidR="000C1C1A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4, 11, 18</w:t>
            </w:r>
          </w:p>
        </w:tc>
      </w:tr>
      <w:tr w:rsidR="000C1C1A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2, 9, 16</w:t>
            </w:r>
          </w:p>
        </w:tc>
      </w:tr>
      <w:tr w:rsidR="000C1C1A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6, 13, 20</w:t>
            </w:r>
          </w:p>
        </w:tc>
      </w:tr>
      <w:tr w:rsidR="000C1C1A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3, 17, 24</w:t>
            </w:r>
          </w:p>
        </w:tc>
      </w:tr>
      <w:tr w:rsidR="000C1C1A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2, 9, 16, 23, 30</w:t>
            </w:r>
          </w:p>
        </w:tc>
      </w:tr>
      <w:tr w:rsidR="000C1C1A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13, 20, 27</w:t>
            </w:r>
          </w:p>
        </w:tc>
      </w:tr>
      <w:tr w:rsidR="000C1C1A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4, 11, 18</w:t>
            </w:r>
          </w:p>
        </w:tc>
      </w:tr>
    </w:tbl>
    <w:p w:rsidR="000C1C1A" w:rsidRDefault="000C1C1A"/>
    <w:p w:rsidR="000C1C1A" w:rsidRDefault="006668BA">
      <w:pPr>
        <w:jc w:val="center"/>
      </w:pPr>
      <w:r>
        <w:rPr>
          <w:b/>
          <w:sz w:val="36"/>
          <w:szCs w:val="36"/>
          <w:u w:val="single"/>
        </w:rPr>
        <w:t>“Credit Recovery” Program</w:t>
      </w:r>
    </w:p>
    <w:p w:rsidR="000C1C1A" w:rsidRDefault="006668BA">
      <w:r>
        <w:rPr>
          <w:i/>
          <w:sz w:val="24"/>
          <w:szCs w:val="24"/>
          <w:u w:val="single"/>
        </w:rPr>
        <w:t>Description:</w:t>
      </w:r>
      <w:r>
        <w:rPr>
          <w:sz w:val="24"/>
          <w:szCs w:val="24"/>
        </w:rPr>
        <w:t xml:space="preserve"> Identified students who are at risk of failing multiple classes and thus at risk for being retained in their current grade will have the opportunity to gain a better understanding of mathematical and ELA concepts through this interactive instructional pro</w:t>
      </w:r>
      <w:r>
        <w:rPr>
          <w:sz w:val="24"/>
          <w:szCs w:val="24"/>
        </w:rPr>
        <w:t>gram. Students are to attend and actively participate 11 of the 12 weeks in order to have one failed marking period grade converted to a credit. This program meets from 2:30-4:30pm on the following dates:</w:t>
      </w:r>
    </w:p>
    <w:tbl>
      <w:tblPr>
        <w:tblStyle w:val="a0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7935"/>
      </w:tblGrid>
      <w:tr w:rsidR="000C1C1A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22, 29</w:t>
            </w:r>
          </w:p>
        </w:tc>
      </w:tr>
      <w:tr w:rsidR="000C1C1A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7, 14, 17 </w:t>
            </w:r>
            <w:r>
              <w:rPr>
                <w:sz w:val="20"/>
                <w:szCs w:val="20"/>
              </w:rPr>
              <w:t>(make up)</w:t>
            </w:r>
            <w:r>
              <w:rPr>
                <w:sz w:val="24"/>
                <w:szCs w:val="24"/>
              </w:rPr>
              <w:t>, 21</w:t>
            </w:r>
          </w:p>
        </w:tc>
      </w:tr>
      <w:tr w:rsidR="000C1C1A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11, 18, 25, 28 </w:t>
            </w:r>
            <w:r>
              <w:rPr>
                <w:sz w:val="20"/>
                <w:szCs w:val="20"/>
              </w:rPr>
              <w:t>(make up)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i/>
                <w:sz w:val="16"/>
                <w:szCs w:val="16"/>
              </w:rPr>
              <w:t>NOTE: June 6 &amp; 9 are available if there are snow days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C1C1A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1A" w:rsidRDefault="006668B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2, 9, 16, 23, 26 </w:t>
            </w:r>
            <w:r>
              <w:rPr>
                <w:sz w:val="20"/>
                <w:szCs w:val="20"/>
              </w:rPr>
              <w:t>(make up)</w:t>
            </w:r>
          </w:p>
        </w:tc>
      </w:tr>
    </w:tbl>
    <w:p w:rsidR="000C1C1A" w:rsidRDefault="000C1C1A"/>
    <w:sectPr w:rsidR="000C1C1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68BA">
      <w:pPr>
        <w:spacing w:line="240" w:lineRule="auto"/>
      </w:pPr>
      <w:r>
        <w:separator/>
      </w:r>
    </w:p>
  </w:endnote>
  <w:endnote w:type="continuationSeparator" w:id="0">
    <w:p w:rsidR="00000000" w:rsidRDefault="00666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68BA">
      <w:pPr>
        <w:spacing w:line="240" w:lineRule="auto"/>
      </w:pPr>
      <w:r>
        <w:separator/>
      </w:r>
    </w:p>
  </w:footnote>
  <w:footnote w:type="continuationSeparator" w:id="0">
    <w:p w:rsidR="00000000" w:rsidRDefault="00666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1A" w:rsidRDefault="000C1C1A"/>
  <w:p w:rsidR="000C1C1A" w:rsidRDefault="006668BA">
    <w:pPr>
      <w:jc w:val="center"/>
    </w:pPr>
    <w:r>
      <w:rPr>
        <w:b/>
        <w:sz w:val="96"/>
        <w:szCs w:val="96"/>
      </w:rPr>
      <w:t>YJH SUPPORT</w:t>
    </w:r>
  </w:p>
  <w:p w:rsidR="000C1C1A" w:rsidRDefault="006668BA">
    <w:pPr>
      <w:jc w:val="center"/>
    </w:pPr>
    <w:r>
      <w:rPr>
        <w:b/>
        <w:i/>
        <w:sz w:val="24"/>
        <w:szCs w:val="24"/>
      </w:rPr>
      <w:t>A Yale Junior High School Title I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1A"/>
    <w:rsid w:val="000C1C1A"/>
    <w:rsid w:val="006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8424E-73EC-430A-9298-A81D4A9C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Public Schools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Sheldon</dc:creator>
  <cp:lastModifiedBy>Diane Sheldon</cp:lastModifiedBy>
  <cp:revision>2</cp:revision>
  <dcterms:created xsi:type="dcterms:W3CDTF">2015-10-07T21:22:00Z</dcterms:created>
  <dcterms:modified xsi:type="dcterms:W3CDTF">2015-10-07T21:22:00Z</dcterms:modified>
</cp:coreProperties>
</file>